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06"/>
      </w:tblGrid>
      <w:tr w:rsidR="00C43173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43173" w:rsidRDefault="00512C7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123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0"/>
        <w:gridCol w:w="222"/>
        <w:gridCol w:w="1500"/>
        <w:gridCol w:w="2461"/>
      </w:tblGrid>
      <w:tr w:rsidR="00C43173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</w:tr>
      <w:tr w:rsidR="00C43173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C4317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C43173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января 2025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01.01.2025</w:t>
            </w:r>
          </w:p>
        </w:tc>
      </w:tr>
      <w:tr w:rsidR="00C43173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 субъекта бюджетной отчетности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</w:tr>
      <w:tr w:rsidR="00C4317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получатель бюджетных средств, главный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администратор,   </w:t>
            </w:r>
            <w:proofErr w:type="gramEnd"/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</w:tr>
      <w:tr w:rsidR="00C4317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</w:tr>
      <w:tr w:rsidR="00C4317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</w:tr>
      <w:tr w:rsidR="00C43173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0"/>
              </w:rPr>
            </w:pPr>
          </w:p>
        </w:tc>
      </w:tr>
      <w:tr w:rsidR="00C43173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Комитет по развитию городского хозяйства администрации города Мурманска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БК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958</w:t>
            </w:r>
          </w:p>
        </w:tc>
      </w:tr>
      <w:tr w:rsidR="00C43173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</w:tr>
      <w:tr w:rsidR="00C43173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Бюджет городских округов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43173" w:rsidRDefault="00512C78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246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47701000</w:t>
            </w:r>
          </w:p>
        </w:tc>
      </w:tr>
      <w:tr w:rsidR="00C43173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месячная, квартальная, годовая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</w:tr>
      <w:tr w:rsidR="00C4317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24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C43173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22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246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</w:tr>
      <w:tr w:rsidR="00C43173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</w:tr>
    </w:tbl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1 Организационная структура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комитета по развитию городского хозяйства администрации города Мурманска: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Согласно Положению о Комитете по развитию городского хозяйства администрации города Мурманска (далее – Комитет), утвержденного постановлением администрации города Мурманска от 14.05.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2005 № 427 (с изменениями от 17.05.2005 № 431, от 28.12.2006 № 2018, от 26.03.2007 № 368, от 16.11.2009 № 1238, от 13.07.2010 № 1204, от 05.07.2011 № 108-р, от 23.01.2012 № 04-р, от 20.12.2012 № 116-р, от 06.02.2015 № 06-р, от 26.10.2015 № 74-р, от 15.02.2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016 № 10-р, от 12.07.2016 № 51-р, от 03.05.2017 № 32-р, от 13.03.2018 № 15-р, от 04.09.2018 № 52-р, от 26.11.2018 № 74-р, от 17.06.2019 № 34-р, от 26.02.2020 № 15-р, от 22.11.2021 № 52-р, от 11.10.2022 № 3033, от 24.12.2024 № 4235) Комитет является муницип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альным казенным учреждением, созданным для осуществления управленческих функций, входит в структуру администрации города Мурманска.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является юридическим лицом, имеет в оперативном управлении имущество, переданное на праве оперативного управления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договору с комитетом имущественных отношений города Мурманска и приобретенного за счет средств бюджета муниципального образования город Мурманск.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Комитет содержится за счет средств бюджета муниципального образования город Мурманск, осуществляет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полномочия главного распорядителя бюджетных средств в отношении подведомственных ему учреждений.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Основными целями и задачами Комитета являются: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Организация дорожной деятельности в отношении автомобильных дорог общего пользования местного значения в грани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цах города Мурманска и обеспечение безопасности дорожного движения на них.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Обеспечение мероприятий по организации регулярных перевозок пассажиров и багажа автомобильным транспортом и городским наземным электрическим транспортом в границах города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Мурманска.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Организация и мониторинг дорожного движения на автомобильных дорогах общего пользования местного значения в границах города Мурманска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Организация мероприятий по охране окружающей среды в границах города Мурманска, в том числе по сохранению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олезных функций городских лесов, лесов особо охраняемых природных территорий, расположенных в границах город Мурманска, а также участие в организации деятельности по накоплению (в том числе раздельному накоплению), сбору, транспортированию, обработке, утил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изации, обезвреживанию, захоронению твердых коммунальных отходов.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Организация содержания мест захоронения.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имеет следующие лицевые счета, открытые в ОТДЕЛЕНИИ МУРМАНСК//УФК по Мурманской области, г. Мурманск: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распорядителя бюджетных средств - 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03493010340;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главного распорядителя бюджетных средств - № 01493010340;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администратора доходов бюджета - № 04493010340;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 учету средств, поступающих во временное распоряжение бюджетных организаций - № 05493010340.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Штатная численность комитета - 46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единиц.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Результаты деятельности комитета по развитию городского хозяйства администрации города Мурманска: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размещения муниципальных заказов на поставку товаров, выполнение работ, оказание услуг в рамках конкурентных процедур за 2024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 экономия денежных 107 845,99 руб.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2024 год комитетом заключены муниципальные контракты в количестве 47 ед.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Комитет осуществляет функции и полномочия учредителя следующих муниципальных бюджетных учреждений: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ММБУ «Центр организации дорожного движ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ения» согласно постановлению администрации города Мурманска № 335 от 02.03.2011 (реорганизован путем присоединения к ММБУ «УДХ» с 01.11.2024);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ММБУ «Управление дорожного хозяйства» согласно постановлению администрации города Мурманска № 742 от 13.05.2010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ММБУ «Экосистема» согласно распоряжению администрации города Мурманска № 104-р от 04.07.2011;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ММБУ «Дирекция городского кладбища» создано в соответствии с постановлением администрации города Мурманска от 31.12.2009 № 1518. До 01.01.2012 являлось полу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чателем бюджетных средств. С 01.01.2012 в соответствии с Федеральным законом от 08.05.2010 № 83-ФЗ финансовое обеспечение основной деятельности учреждения осуществляется в виде субсидии на выполнение муниципального задания из бюджета муниципального образов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ания город Мурманск.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ММБУ «Центр содержания животных»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создано путем реорганизации в форме преобразования Мурманского муниципального унитарного предприятия «Центр временного содержания животных» согласно постановлению администрации города Мурманска от 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.12.2019 № 4233. Дата внесения записи в ЕГРЮЛ – 31.03.2020.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ММБУ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МурманскГорСвет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создано согласно постановлению администрации города Мурманска от 26.10.2021 № 2735. Дата внесения записи в ЕГРЮЛ – 22.03.2022.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3 Анализ отчета об исполнении бюджета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комитетом по развитию городского хозяйства администрации города Мурманска: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Расшифровка отдельных показателей формы 0503164 «Сведения об исполнении бюджета»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разделе 1. «Доходы бюджета» утвержденные бюджетные ассигнования составили 2 535 594 053,92 руб.,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исполнено 2 149 657 766,53 руб. или 84,78%.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По сравнению с утвержденными бюджетными ассигнованиями по доходам на 2023 год бюджетные назначения по доходам на 2024 года уменьшились на 28,48%, исполнение по доходам увеличилось на 35,51%.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Уменьшение бюджетн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ассигнований по доходам связано в основном с предоставлением в 2023 году новых межбюджетных трансфертов в форме субсидии на реализацию инфраструктурного проекта «Культурно-деловой центр «Новый Мурманск» в размере 1 497 796 000,00 руб., в форме иного меж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бюджетного трансферта на реализацию мероприятий, направленных на выполнение работ по ямочному ремонту дворовых проездов (за счет резервного фонда Правительства Мурманской области), в размере 99 907 784,92 руб.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Исполнение по доходам увеличилось в связи с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выполнением мероприятий иных межбюджетных трансфертов на приведение в нормативное состояние сети автомобильных дорог общего пользования местного значения за счет средств дорожного фонда в размере 535 689 278,94 руб.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Пояснения по исполнению бюджета с кодом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«Иные причины», которые не отражены в таблице № 13: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 По коду БК 958 1 13 02994 04 0000 130 утверждены бюджетные ассигнования в размере 114 600,00 руб., исполнено – 114 746,72 руб., процент исполнения 100,13 %.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По коду БК 958 1 16 10061 04 0000 140 утв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ерждены бюджетные ассигнования в размере 0,00 руб., исполнено – 361,39 руб., процент исполнения 100 %.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 По коду БК 958 1 16 10062 04 0000 140 утверждены бюджетные ассигнования в размере 30 100,00 руб., исполнено – 30 105,62 руб., процент исполнения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100,01 %.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 По коду БК 958 1 16 10061 01 0000 140 утверждены бюджетные ассигнования в размере 3 900,00 руб., исполнено – 3 938,16 руб., процент исполнения 100,98 %.</w:t>
      </w:r>
      <w:r>
        <w:rPr>
          <w:rFonts w:ascii="Times New Roman" w:eastAsia="Times New Roman" w:hAnsi="Times New Roman" w:cs="Times New Roman"/>
          <w:color w:val="000000"/>
          <w:sz w:val="24"/>
        </w:rPr>
        <w:br/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 По коду БК 958 2 18 04010 04 0000 150 утверждены бюджетные ассигнования в размере 0,00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руб., исполнено – 4 948 099,79 руб., процент исполнения 0 %.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Планирование поступлений по доходам осуществляется по документально подтвержденной дебиторской задолженности, которая ожидается к поступлению в бюджет муниципального образования город Мурманск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очередном финансовом году (плановом периоде), ожидаемых результатов работы по ее взысканию судебными органами.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Превышение бюджетных ассигнований по доходам образовалось в связи с поступлениями, которые не планировались.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4 Анализ показателей финансо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вой отчетности комитета по развитию городского хозяйства администрации города Мурманска: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           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Пояснение отдельных показателей по форме 0503121 "Отчет о финансовых результатах деятельности"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2644"/>
        <w:gridCol w:w="5520"/>
      </w:tblGrid>
      <w:tr w:rsidR="00C43173"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 по КОСГУ</w:t>
            </w:r>
          </w:p>
        </w:tc>
        <w:tc>
          <w:tcPr>
            <w:tcW w:w="2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Сумма </w:t>
            </w:r>
          </w:p>
        </w:tc>
        <w:tc>
          <w:tcPr>
            <w:tcW w:w="5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Пояснения</w:t>
            </w:r>
          </w:p>
        </w:tc>
      </w:tr>
      <w:tr w:rsidR="00C43173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      195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-77 605 335,10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размер участия в государственных (муниципальных учреждениях) имеет отрицательный показатель в связи с выбытием земельных участков</w:t>
            </w:r>
          </w:p>
        </w:tc>
      </w:tr>
    </w:tbl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Пояснение отдельных показателей по форме 0503130 «Баланс главного распорядителя, распорядителя, получателя бюджетных средств,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главного администратора, администратора источников финансирования дефицита бюджета, главного администратора, администратора доходов бюджета»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счету 1 401 50 000 отражены расходы, связанные с выплатой по ежегодному оплачиваемому отпуску работникам, ушедш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 в отпуск в январе.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 счету 1 401 60 000 отражен резерв предстоящих расходов на оплату отпусков за фактически отработанное время или компенсацию за неиспользованный отпуск, включая платежи на обязательное социальное страхование.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Пояснение отдельных пока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зателей по форме 0503168 «Сведения о движении нефинансовых активов»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4"/>
        <w:gridCol w:w="2644"/>
        <w:gridCol w:w="5520"/>
      </w:tblGrid>
      <w:tr w:rsidR="00C43173"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Номер (код) счета бюджетного учета (без КБК)</w:t>
            </w:r>
          </w:p>
        </w:tc>
        <w:tc>
          <w:tcPr>
            <w:tcW w:w="26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Сумма на конец отчетного периода</w:t>
            </w:r>
          </w:p>
        </w:tc>
        <w:tc>
          <w:tcPr>
            <w:tcW w:w="55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Причины образования</w:t>
            </w:r>
          </w:p>
        </w:tc>
      </w:tr>
      <w:tr w:rsidR="00C43173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1 102 30 000</w:t>
            </w:r>
          </w:p>
        </w:tc>
        <w:tc>
          <w:tcPr>
            <w:tcW w:w="26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9 400 000,00</w:t>
            </w:r>
          </w:p>
        </w:tc>
        <w:tc>
          <w:tcPr>
            <w:tcW w:w="55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отражена передача исключительных прав 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научно-исследовательские работы по разработке комплексной схемы организации дорожного движения на территории муниципального образования город Мурманск</w:t>
            </w:r>
          </w:p>
        </w:tc>
      </w:tr>
    </w:tbl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Пояснения к форме 0503169 «Сведения по дебиторской и кредиторской задолженности» </w:t>
      </w:r>
    </w:p>
    <w:p w:rsidR="00C43173" w:rsidRDefault="00512C78">
      <w:pPr>
        <w:ind w:firstLine="70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Сведения по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дебиторской задолженности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2"/>
        <w:gridCol w:w="2634"/>
        <w:gridCol w:w="5720"/>
      </w:tblGrid>
      <w:tr w:rsidR="00C43173"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Номер (код) счета бюджетного учета (без КБК)</w:t>
            </w:r>
          </w:p>
        </w:tc>
        <w:tc>
          <w:tcPr>
            <w:tcW w:w="2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Сумма на конец отчетного периода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Причины образования</w:t>
            </w:r>
          </w:p>
        </w:tc>
      </w:tr>
      <w:tr w:rsidR="00C43173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1 205 51 000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3 239 144 109,68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Признание доходов будущих периодов от межбюджетных трансфертов на основании Уведомления 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предоставлении субсидий, субвенций, иных межбюджетных трансфертов, имеющих целевое назначение (ф. 0504320)</w:t>
            </w:r>
          </w:p>
        </w:tc>
      </w:tr>
      <w:tr w:rsidR="00C43173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1 205 53 000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166 539 894,72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Остаток неиспользованных средств субсидии текущего характера на иные цели, расходы по которым не подтверждены отчетами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учреждений</w:t>
            </w:r>
          </w:p>
        </w:tc>
      </w:tr>
      <w:tr w:rsidR="00C43173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1 205 61 000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6 095 921,57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Признание доходов будущих периодов от межбюджетных трансфертов на основании Уведомления о предоставлении субсидий, субвенций, иных межбюджетных трансфертов, имеющих целевое назначение (ф. 0504320)</w:t>
            </w:r>
          </w:p>
        </w:tc>
      </w:tr>
      <w:tr w:rsidR="00C43173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1 205 63 000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17 644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363,54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Остаток неиспользованных средств субсидии капитального характера на иные цели, расходы по которым не подтверждены отчетами учреждений</w:t>
            </w:r>
          </w:p>
        </w:tc>
      </w:tr>
      <w:tr w:rsidR="00C43173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1 206 21 000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79 940,20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Авансовый платеж за услуги связи</w:t>
            </w:r>
          </w:p>
        </w:tc>
      </w:tr>
      <w:tr w:rsidR="00C43173">
        <w:trPr>
          <w:trHeight w:val="1115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1 209 36 000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153 539,75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Долгосрочная дебиторская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задолженность за услуги по отпуску электроэнергии через точки подключения, за услуги по электроснабжению распределительного щита, расположенного у гостиницы «Арктика»</w:t>
            </w:r>
          </w:p>
        </w:tc>
      </w:tr>
      <w:tr w:rsidR="00C43173">
        <w:trPr>
          <w:trHeight w:val="804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1 209 41 000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2 983 747,42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Начислена неустойка за просрочку исполнения обязательств,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предусмотренных муниципальным контрактом</w:t>
            </w:r>
          </w:p>
        </w:tc>
      </w:tr>
      <w:tr w:rsidR="00C43173">
        <w:trPr>
          <w:trHeight w:val="592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1 209 45 000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3 857,83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Долгосрочная задолженность по начисленным процентам за пользование чужими денежными средствами</w:t>
            </w:r>
          </w:p>
        </w:tc>
      </w:tr>
      <w:tr w:rsidR="00C43173">
        <w:trPr>
          <w:trHeight w:val="312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1 209 89 000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40 916,58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Стоимость уничтоженных зеленых насаждений, взысканная по решению судебных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органов</w:t>
            </w:r>
          </w:p>
        </w:tc>
      </w:tr>
      <w:tr w:rsidR="00C43173">
        <w:trPr>
          <w:trHeight w:val="312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Итого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3 432 686 291,29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43173" w:rsidRDefault="00512C78">
      <w:pPr>
        <w:ind w:firstLine="700"/>
        <w:jc w:val="center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Сведения по кредиторской задолженности</w:t>
      </w:r>
    </w:p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3"/>
        <w:gridCol w:w="2630"/>
        <w:gridCol w:w="5723"/>
      </w:tblGrid>
      <w:tr w:rsidR="00C43173">
        <w:tc>
          <w:tcPr>
            <w:tcW w:w="15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spacing w:before="240" w:after="240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Номер (код) счета бюджетного учета (без КБК)</w:t>
            </w:r>
          </w:p>
        </w:tc>
        <w:tc>
          <w:tcPr>
            <w:tcW w:w="266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Сумма на конец отчетного периода</w:t>
            </w:r>
          </w:p>
        </w:tc>
        <w:tc>
          <w:tcPr>
            <w:tcW w:w="58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Причины образования</w:t>
            </w:r>
          </w:p>
        </w:tc>
      </w:tr>
      <w:tr w:rsidR="00C43173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1 401 49 151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3 239 144 109,68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Признание доходов будущих периодов от межбюджетных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трансфертов на основании Уведомления о предоставлении субсидий, субвенций, иных межбюджетных трансфертов, имеющих целевое назначение (ф. 0504320)</w:t>
            </w:r>
          </w:p>
        </w:tc>
      </w:tr>
      <w:tr w:rsidR="00C43173">
        <w:trPr>
          <w:trHeight w:val="1040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1 401 49 161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6 095 921,57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Признание доходов будущих периодов капитального характера от межбюджетных трансфер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тов на основании Уведомления о предоставлении субсидий, субвенций, иных межбюджетных трансфертов, имеющих целевое назначение (ф. 0504320)</w:t>
            </w:r>
          </w:p>
        </w:tc>
      </w:tr>
      <w:tr w:rsidR="00C43173">
        <w:trPr>
          <w:trHeight w:val="1040"/>
        </w:trPr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1 401 60 211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11 585 589,23 </w:t>
            </w:r>
          </w:p>
        </w:tc>
        <w:tc>
          <w:tcPr>
            <w:tcW w:w="581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Отражен резерв предстоящих расходов на оплату отпусков за фактически отработанное время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или компенсацию за неиспользованный отпуск, включая платежи на обязательное социальное страхование</w:t>
            </w:r>
          </w:p>
        </w:tc>
      </w:tr>
      <w:tr w:rsidR="00C43173">
        <w:tc>
          <w:tcPr>
            <w:tcW w:w="155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1 401 60 213</w:t>
            </w:r>
          </w:p>
        </w:tc>
        <w:tc>
          <w:tcPr>
            <w:tcW w:w="266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512C7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3 498 847,95</w:t>
            </w:r>
          </w:p>
        </w:tc>
        <w:tc>
          <w:tcPr>
            <w:tcW w:w="5812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3173" w:rsidRDefault="00C43173">
            <w:pPr>
              <w:shd w:val="clear" w:color="auto" w:fill="FFFFFF"/>
              <w:rPr>
                <w:color w:val="000000"/>
                <w:shd w:val="clear" w:color="auto" w:fill="FFFFFF"/>
              </w:rPr>
            </w:pPr>
          </w:p>
        </w:tc>
      </w:tr>
    </w:tbl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Отклонение показателей между графами 7 и 8: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- 1 206 41 000 – восстановление кассовых расходов.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Сведения о показателях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сегментам</w:t>
      </w:r>
    </w:p>
    <w:p w:rsidR="00C43173" w:rsidRDefault="00512C7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  Сегмент бюджетные единицы.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Комитет по развитию городского хозяйства администрации города Мурманска является муниципальным казенным учреждением, входит в структуру администрации города Мурманска, подведомственных казенных учреждений не имеет,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относится к сегменту бюджетные единицы.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Иные получатели средств местного бюджета отсутствуют.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по сегменту бюджетные единицы отражены в формах бюджетной отчетности и в текстовой части данной Пояснительной записки.</w:t>
      </w:r>
    </w:p>
    <w:p w:rsidR="00C43173" w:rsidRDefault="00512C7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 Признанные доходы и расходы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разрезе КОСГУ за 2024 год отражены в Отчете о финансовых результатах деятельности ф.0503121.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составляет – 2 277 903 719,78 руб.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Общая величина признанных расходов составляет 4 398 933 692,69 руб.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2023 году: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составляет 874 744 239,84 руб.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величина признанных расходов составляет 3 340 856 049,27 руб.</w:t>
      </w:r>
    </w:p>
    <w:p w:rsidR="00C43173" w:rsidRDefault="00512C7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 Общая величина нефинансовых и финансовых активов отражена в Балансе ф.0503130 и по состоянию на 31.12.2024 составляет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12 182 172 645,23 руб., по состоянию на 31.12.2023 составляла 12 254 139 376,75 руб.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недвижимому имуществу, непроизведенным активам представлены в Сведениях о движении нефинансовых активов ф. 0503168.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денежным средствам учрежде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ния представлены в ф. 0503178 (средства во временном распоряжении) и в Балансе ф.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0503130 .</w:t>
      </w:r>
      <w:proofErr w:type="gramEnd"/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финансовым вложениям представлены в Сведениях о финансовых вложениях ф. 0503171.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расчетам по доходам представлены в Сведениях о дебиторск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ой и кредиторской задолженности ф. 0503169.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Кредиты, займы не предоставлялись.</w:t>
      </w:r>
    </w:p>
    <w:p w:rsidR="00C43173" w:rsidRDefault="00512C7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1.3. Общая величина обязательств отражена в Балансе ф. 0503130 и по состоянию на 31.12.2024 составляет 3 261 361 888,16 руб., на 31.12.2023 составляла 3 479 027 803,37 руб.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расчетам с кредиторами по долговым обязательствам отсутствуют.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прочим расчетам с кредиторами и расчетам по платежам в бюджеты представлены в Сведениях о дебиторской и кредиторской задолженности ф.0503169.</w:t>
      </w:r>
    </w:p>
    <w:p w:rsidR="00C43173" w:rsidRDefault="00512C7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 Сегмент бюджетные (а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втономные) учреждения.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состоянию на 01.01.2025 в подведомственности комитета по развитию городского хозяйства администрации города Мурманска находятся 5 бюджетных учреждений.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Сведения по сегменту бюджетные (автономные) учреждения отражены в формах свод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ной бухгалтерской отчетности и в текстовой части Пояснительной записки к балансу учреждения ф.0503760.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C43173" w:rsidRDefault="00512C7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2.1. Признанные доходы и расходы в разрезе кодов аналитики за 2024 год отражены в Отчете о финансовых результатах деятельности учреждения      ф. 05037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составляет 4 519 840 481,21 руб.,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величина признанных расходов составляет 4 757 510 095,70 руб.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2023 году: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Общая величина признанных доходов составляла 3 428 099 279,31 руб. 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Общая величина признанных расходов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составляла 3 530 247 206,73 руб.</w:t>
      </w:r>
    </w:p>
    <w:p w:rsidR="00C43173" w:rsidRDefault="00512C7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2.2. Общая величина нефинансовых и финансовых активов отражена в Балансе государственного (муниципального) учреждения ф.0503730 и по состоянию на 31.12.2024 составляет 4 709 386 088,94руб., на 31.12.2023 составляла 4 964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90 536,85 руб.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Показатели по недвижимому имуществу, непроизведенным активам представлены в Сведениях о движении нефинансовых активов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учреждения  ф.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0503768 в разрезе кодов финансового обеспечения (далее – КФО).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денежным средствам учреждения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редставлены в Сведениях об остатках денежных средств учреждений ф. 0503779 в разрезе КФО.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финансовым вложениям представлены в Сведениях о финансовых вложениях учреждения ф. 0503771.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расчетам по доходам представлены в Сведениях 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дебиторской и кредиторской задолженности ф. 0503769 в разрезе КФО.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предоставленным кредитам, займам отсутствуют.</w:t>
      </w:r>
    </w:p>
    <w:p w:rsidR="00C43173" w:rsidRDefault="00512C7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2.3. Общая величина обязательств отражена Балансе государственного (муниципального) учреждения ф.0503730 и по состоянию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31.12.2024 составляет 9 027 185 145,68руб., на 31.12.2023 составляла 9 039 538 280,97 руб.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расчетам с кредиторами по долговым обязательствам отсутствуют.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Показатели по прочим расчетам с кредиторами и расчетам по платежам в бюджеты представлен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в Сведениях о дебиторской и кредиторской задолженности ф.0503769 в разрезе КФО.</w:t>
      </w:r>
    </w:p>
    <w:p w:rsidR="00C43173" w:rsidRDefault="00512C78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 Сегмент внебюджетные муниципальные единицы в части муниципальных унитарных предприятий.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Комитет по развитию городского хозяйства администрации города Мурманска не имеет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подведомственности муниципальных унитарных предприятий. 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5 Прочие вопросы деятельности комитета по развитию городского хозяйства администрации города Мурманска: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Пояснение к форме 0503296 «Сведения об исполнении решений по денежным обязательствам»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состоянию на 01.01.2025 принято денежных обязательств по исполнению судебных решений на сумму 12 650,00 руб., исполнено денежных обязательств в размере 12 650,00 руб., в том числе: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 - Башко Наталья Юрьевна, исполнительный лист 2а-3598/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2023 от 20.03.2024, решение Октябрьского районного суда города Мурманска по делу № 2а-3598/2023, возмещение расходов по оплате судебных расходов в размере 12 650,00 руб.;</w:t>
      </w:r>
    </w:p>
    <w:p w:rsidR="00C43173" w:rsidRDefault="00512C78">
      <w:pPr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По коду БК 958 0409 9940099990 853 предусмотрены бюджетные ассигнования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оплату административных штрафов за несоблюдение требований по обеспечению безопасности дорожного движения по статье 12.34 Кодекса РФ об административных правонарушениях. Наложение административного штрафа осуществляется на основании постановления Мирового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судьи судебного участка административных округов города Мурманска.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Бюджетный учет комитета осуществляется в соответствии с приказами Министерства финансов Российской Федерации от 01.12.2010 № 157н «Об утверждении Единого плана счетов бухгалтерского учета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ию», от 06.12.2010 № 162н «Об утверждении Плана счетов бюджетного учета и Инструкции по его применению», федеральными стандартами бухгалтерского учета для организаций государственного сектора.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Бюджетный учет комитета осуществляется в соответствии с приказ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ами Министерства финансов Российской Федерации от 01.12.2010 № 157н 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внебюджетными фондами, государственных академий наук, государственных (муниципальных) учреждений и Инструкции по его применению», от 06.12.2010 № 162н «Об утверждении Плана счетов бюджетного учета и Инструкции по его применению»,  федеральными стандартами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бухгалтерского учета для организаций государственного сектора.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Бухгалтерский учет осуществляется с использованием компьютерной техники и программного продукта «1С: Предприятие 8.3» (конфигурация – Бухгалтерия государственного учреждения, редакция 2.0)».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заимодействие с Управлением Федерального казначейства по Мурманской области осуществляется посредством электронного документооборота с помощью программного комплекса «СУФД».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и передача налоговой и статистической отчетности осуществляется с исп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ользованием программного комплекса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СБиС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++». 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Инвентаризация имущества и обязательств проводится в соответствии с положениями приказа Министерства финансов Российской Федерации от 13.06.1995 № 49 «Об утверждении Методических указаний по инвентаризации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имущества и финансовых обязательств».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Инвентаризация основных средств и материальных запасов, предназначенных для обеспечения деятельности Комитета, финансовых обязательств проводится ежегодно перед составлением годовой бюджетной отчетности и при смене мат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ериально ответственных лиц. Расхождений с данными бухгалтерского учета за 2024 год не выявлено.</w:t>
      </w:r>
    </w:p>
    <w:p w:rsidR="00C43173" w:rsidRDefault="00512C78">
      <w:pPr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Инвентаризация денежных средств, бланков строгой отчетности проводится один раз в месяц и при смене материально ответственных лиц. Расхождений с данными бухгалт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ерского учета за 2024 год не выявлено.</w:t>
      </w:r>
    </w:p>
    <w:p w:rsidR="00C43173" w:rsidRDefault="00512C78">
      <w:r>
        <w:t> </w:t>
      </w:r>
      <w:r>
        <w:rPr>
          <w:color w:val="000000"/>
        </w:rPr>
        <w:t>%FILE_CONTENT%</w:t>
      </w:r>
    </w:p>
    <w:p w:rsidR="00C43173" w:rsidRDefault="00512C7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38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01"/>
        <w:gridCol w:w="4088"/>
        <w:gridCol w:w="2621"/>
      </w:tblGrid>
      <w:tr w:rsidR="00C43173"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Нерубащенко Никита Юрьевич</w:t>
            </w:r>
          </w:p>
        </w:tc>
      </w:tr>
      <w:tr w:rsidR="00C43173">
        <w:trPr>
          <w:trHeight w:val="280"/>
        </w:trPr>
        <w:tc>
          <w:tcPr>
            <w:tcW w:w="3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3173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317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Васильева Елена Александровна</w:t>
            </w:r>
          </w:p>
        </w:tc>
      </w:tr>
      <w:tr w:rsidR="00C4317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3173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C43173">
            <w:pPr>
              <w:rPr>
                <w:sz w:val="24"/>
              </w:rPr>
            </w:pPr>
          </w:p>
        </w:tc>
      </w:tr>
      <w:tr w:rsidR="00C4317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Васильева Елена Александровна</w:t>
            </w:r>
          </w:p>
        </w:tc>
      </w:tr>
      <w:tr w:rsidR="00C43173">
        <w:trPr>
          <w:trHeight w:val="281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C43173">
        <w:trPr>
          <w:trHeight w:val="449"/>
        </w:trPr>
        <w:tc>
          <w:tcPr>
            <w:tcW w:w="357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512C7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"____"   ____________ 20____г.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C43173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43173" w:rsidRDefault="00C43173">
            <w:pPr>
              <w:rPr>
                <w:sz w:val="24"/>
              </w:rPr>
            </w:pPr>
          </w:p>
        </w:tc>
      </w:tr>
    </w:tbl>
    <w:p w:rsidR="00C43173" w:rsidRDefault="00512C78"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 </w:t>
      </w:r>
    </w:p>
    <w:sectPr w:rsidR="00C43173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173"/>
    <w:rsid w:val="00512C78"/>
    <w:rsid w:val="00C43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159EFD-90BC-41E1-A378-ED6DC7E18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3018</Words>
  <Characters>17206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svod-app01/www-data</dc:creator>
  <cp:lastModifiedBy>Антонова Екатерина Алексеевна</cp:lastModifiedBy>
  <cp:revision>2</cp:revision>
  <dcterms:created xsi:type="dcterms:W3CDTF">2025-03-15T09:53:00Z</dcterms:created>
  <dcterms:modified xsi:type="dcterms:W3CDTF">2025-03-15T09:53:00Z</dcterms:modified>
</cp:coreProperties>
</file>